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jc w:val="center"/>
        <w:rPr>
          <w:rFonts w:ascii="Work Sans" w:cs="Work Sans" w:eastAsia="Work Sans" w:hAnsi="Work Sans"/>
          <w:b w:val="1"/>
          <w:sz w:val="40"/>
          <w:szCs w:val="40"/>
        </w:rPr>
      </w:pPr>
      <w:bookmarkStart w:colFirst="0" w:colLast="0" w:name="_838y4o8vv3oa" w:id="0"/>
      <w:bookmarkEnd w:id="0"/>
      <w:r w:rsidDel="00000000" w:rsidR="00000000" w:rsidRPr="00000000">
        <w:rPr>
          <w:rFonts w:ascii="Work Sans" w:cs="Work Sans" w:eastAsia="Work Sans" w:hAnsi="Work Sans"/>
          <w:b w:val="1"/>
          <w:sz w:val="40"/>
          <w:szCs w:val="40"/>
          <w:rtl w:val="0"/>
        </w:rPr>
        <w:t xml:space="preserve">Getting Started Checklist</w:t>
      </w:r>
    </w:p>
    <w:p w:rsidR="00000000" w:rsidDel="00000000" w:rsidP="00000000" w:rsidRDefault="00000000" w:rsidRPr="00000000" w14:paraId="00000002">
      <w:pPr>
        <w:pStyle w:val="Title"/>
        <w:ind w:left="0" w:firstLine="0"/>
        <w:jc w:val="center"/>
        <w:rPr>
          <w:rFonts w:ascii="Work Sans" w:cs="Work Sans" w:eastAsia="Work Sans" w:hAnsi="Work Sans"/>
          <w:sz w:val="32"/>
          <w:szCs w:val="32"/>
        </w:rPr>
      </w:pPr>
      <w:bookmarkStart w:colFirst="0" w:colLast="0" w:name="_ules2ppk8dg4" w:id="1"/>
      <w:bookmarkEnd w:id="1"/>
      <w:r w:rsidDel="00000000" w:rsidR="00000000" w:rsidRPr="00000000">
        <w:rPr>
          <w:rFonts w:ascii="Work Sans" w:cs="Work Sans" w:eastAsia="Work Sans" w:hAnsi="Work Sans"/>
          <w:sz w:val="32"/>
          <w:szCs w:val="32"/>
          <w:rtl w:val="0"/>
        </w:rPr>
        <w:t xml:space="preserve">School COVID-19 Testing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-78104</wp:posOffset>
            </wp:positionH>
            <wp:positionV relativeFrom="paragraph">
              <wp:posOffset>390525</wp:posOffset>
            </wp:positionV>
            <wp:extent cx="592455" cy="638175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8152" l="-18705" r="-23181" t="-79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enxqewh59bt0" w:id="2"/>
      <w:bookmarkEnd w:id="2"/>
      <w:r w:rsidDel="00000000" w:rsidR="00000000" w:rsidRPr="00000000">
        <w:rPr>
          <w:rtl w:val="0"/>
        </w:rPr>
        <w:t xml:space="preserve">Define Your Testing Protocol and Select Your Vendor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1260" w:hanging="27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Find the right </w:t>
      </w:r>
      <w:hyperlink r:id="rId7">
        <w:r w:rsidDel="00000000" w:rsidR="00000000" w:rsidRPr="00000000">
          <w:rPr>
            <w:rFonts w:ascii="Work Sans" w:cs="Work Sans" w:eastAsia="Work Sans" w:hAnsi="Work Sans"/>
            <w:color w:val="1155cc"/>
            <w:u w:val="single"/>
            <w:rtl w:val="0"/>
          </w:rPr>
          <w:t xml:space="preserve">program</w:t>
        </w:r>
      </w:hyperlink>
      <w:r w:rsidDel="00000000" w:rsidR="00000000" w:rsidRPr="00000000">
        <w:rPr>
          <w:rFonts w:ascii="Work Sans" w:cs="Work Sans" w:eastAsia="Work Sans" w:hAnsi="Work Sans"/>
          <w:rtl w:val="0"/>
        </w:rPr>
        <w:t xml:space="preserve"> for your school district and understand the testing options available (e.g., what type of test, how often, students / staff, vendors)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1260" w:hanging="270"/>
        <w:jc w:val="both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Make contact directly with the vendor to ask questions and set target start date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1260" w:hanging="270"/>
        <w:jc w:val="both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Connect with your local board of health to agree on </w:t>
      </w:r>
      <w:hyperlink r:id="rId8">
        <w:r w:rsidDel="00000000" w:rsidR="00000000" w:rsidRPr="00000000">
          <w:rPr>
            <w:rFonts w:ascii="Work Sans" w:cs="Work Sans" w:eastAsia="Work Sans" w:hAnsi="Work Sans"/>
            <w:color w:val="1155cc"/>
            <w:u w:val="single"/>
            <w:rtl w:val="0"/>
          </w:rPr>
          <w:t xml:space="preserve">a contact tracing protocol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171450</wp:posOffset>
            </wp:positionV>
            <wp:extent cx="561975" cy="545670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-6649" l="0" r="0" t="-920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45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Style w:val="Heading4"/>
        <w:rPr>
          <w:b w:val="0"/>
        </w:rPr>
      </w:pPr>
      <w:bookmarkStart w:colFirst="0" w:colLast="0" w:name="_ykzbf9jh74pu" w:id="3"/>
      <w:bookmarkEnd w:id="3"/>
      <w:r w:rsidDel="00000000" w:rsidR="00000000" w:rsidRPr="00000000">
        <w:rPr>
          <w:rtl w:val="0"/>
        </w:rPr>
        <w:t xml:space="preserve">Identify Your Testing Team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(See our </w:t>
      </w:r>
      <w:hyperlink r:id="rId10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Guide</w:t>
        </w:r>
      </w:hyperlink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1260" w:hanging="27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Identify District Testing Program Manager, School Testing Coordinator, School Outreach Leads, and staff to oversee specimen collection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40" w:lineRule="auto"/>
        <w:ind w:left="1260" w:hanging="27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Complete trainings from vendor to learn how to administer the test and how to use the software to manage your testing roster and public health reporting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color w:val="666666"/>
          <w:sz w:val="24"/>
          <w:szCs w:val="24"/>
          <w:rtl w:val="0"/>
        </w:rPr>
        <w:t xml:space="preserve">School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b w:val="1"/>
          <w:color w:val="666666"/>
          <w:sz w:val="24"/>
          <w:szCs w:val="24"/>
          <w:rtl w:val="0"/>
        </w:rPr>
        <w:t xml:space="preserve">Communications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(See our </w:t>
      </w:r>
      <w:hyperlink r:id="rId11">
        <w:r w:rsidDel="00000000" w:rsidR="00000000" w:rsidRPr="00000000">
          <w:rPr>
            <w:rFonts w:ascii="Work Sans" w:cs="Work Sans" w:eastAsia="Work Sans" w:hAnsi="Work Sans"/>
            <w:color w:val="1155cc"/>
            <w:u w:val="single"/>
            <w:rtl w:val="0"/>
          </w:rPr>
          <w:t xml:space="preserve">Communications toolkit</w:t>
        </w:r>
      </w:hyperlink>
      <w:r w:rsidDel="00000000" w:rsidR="00000000" w:rsidRPr="00000000">
        <w:rPr>
          <w:rFonts w:ascii="Work Sans" w:cs="Work Sans" w:eastAsia="Work Sans" w:hAnsi="Work Sans"/>
          <w:rtl w:val="0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209550</wp:posOffset>
            </wp:positionV>
            <wp:extent cx="530225" cy="361950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-7662" l="-6802" r="-7530" t="-1532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1260" w:hanging="27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Create your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Three Phase Communications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260" w:hanging="27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Schedule initial introductory webinars for school staff &amp; community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260" w:hanging="270"/>
        <w:jc w:val="both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Create a webpage to answer FAQs about the program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260" w:hanging="270"/>
        <w:jc w:val="both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Set a goal for participation in the program and make a plan to meet it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1260" w:hanging="270"/>
        <w:jc w:val="both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Set up your dashboard and plan for regular communication of test results </w:t>
      </w:r>
    </w:p>
    <w:p w:rsidR="00000000" w:rsidDel="00000000" w:rsidP="00000000" w:rsidRDefault="00000000" w:rsidRPr="00000000" w14:paraId="00000011">
      <w:pPr>
        <w:pStyle w:val="Heading4"/>
        <w:rPr>
          <w:b w:val="0"/>
        </w:rPr>
      </w:pPr>
      <w:bookmarkStart w:colFirst="0" w:colLast="0" w:name="_ik407w8wl2nh" w:id="4"/>
      <w:bookmarkEnd w:id="4"/>
      <w:r w:rsidDel="00000000" w:rsidR="00000000" w:rsidRPr="00000000">
        <w:rPr>
          <w:rtl w:val="0"/>
        </w:rPr>
        <w:t xml:space="preserve">   Software and Regulatory Set Up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78137</wp:posOffset>
            </wp:positionV>
            <wp:extent cx="533400" cy="569563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-7351" l="-9406" r="0" t="-865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69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line="240" w:lineRule="auto"/>
        <w:ind w:left="1260" w:hanging="270"/>
        <w:jc w:val="both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If you are using a point of care test that requires it, apply for a CLIA Waiver. Ask your testing vendor and your State Department of Health for details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line="240" w:lineRule="auto"/>
        <w:ind w:left="1260" w:hanging="270"/>
        <w:jc w:val="both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Establish standing physician order. State Departments of Health may establish state-wide standing orders or schools can find a local physician to order 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line="240" w:lineRule="auto"/>
        <w:ind w:left="1260" w:hanging="270"/>
        <w:jc w:val="both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Decide whether the testing roster and results will be managed by each school or by the district as a whole 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spacing w:line="240" w:lineRule="auto"/>
        <w:ind w:left="1260" w:hanging="270"/>
        <w:jc w:val="both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Create a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process for </w:t>
      </w:r>
      <w:hyperlink r:id="rId14">
        <w:r w:rsidDel="00000000" w:rsidR="00000000" w:rsidRPr="00000000">
          <w:rPr>
            <w:rFonts w:ascii="Work Sans" w:cs="Work Sans" w:eastAsia="Work Sans" w:hAnsi="Work Sans"/>
            <w:color w:val="1155cc"/>
            <w:u w:val="single"/>
            <w:rtl w:val="0"/>
          </w:rPr>
          <w:t xml:space="preserve">collecting consents</w:t>
        </w:r>
      </w:hyperlink>
      <w:r w:rsidDel="00000000" w:rsidR="00000000" w:rsidRPr="00000000">
        <w:rPr>
          <w:rFonts w:ascii="Work Sans" w:cs="Work Sans" w:eastAsia="Work Sans" w:hAnsi="Work Sans"/>
          <w:rtl w:val="0"/>
        </w:rPr>
        <w:t xml:space="preserve"> that includes multiple languages and multiple ways to give consent (e.g., verbally, on paper, in a simple online form)</w:t>
      </w:r>
    </w:p>
    <w:p w:rsidR="00000000" w:rsidDel="00000000" w:rsidP="00000000" w:rsidRDefault="00000000" w:rsidRPr="00000000" w14:paraId="00000016">
      <w:pPr>
        <w:spacing w:line="240" w:lineRule="auto"/>
        <w:ind w:left="1440" w:firstLine="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-66743</wp:posOffset>
            </wp:positionH>
            <wp:positionV relativeFrom="paragraph">
              <wp:posOffset>209550</wp:posOffset>
            </wp:positionV>
            <wp:extent cx="495369" cy="390525"/>
            <wp:effectExtent b="0" l="0" r="0" t="0"/>
            <wp:wrapSquare wrapText="bothSides" distB="114300" distT="114300" distL="114300" distR="11430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-6105" t="-10513"/>
                    <a:stretch>
                      <a:fillRect/>
                    </a:stretch>
                  </pic:blipFill>
                  <pic:spPr>
                    <a:xfrm>
                      <a:off x="0" y="0"/>
                      <a:ext cx="495369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>
          <w:rFonts w:ascii="Work Sans" w:cs="Work Sans" w:eastAsia="Work Sans" w:hAnsi="Work Sans"/>
          <w:color w:val="666666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666666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Work Sans" w:cs="Work Sans" w:eastAsia="Work Sans" w:hAnsi="Work Sans"/>
          <w:b w:val="1"/>
          <w:color w:val="666666"/>
          <w:sz w:val="24"/>
          <w:szCs w:val="24"/>
          <w:rtl w:val="0"/>
        </w:rPr>
        <w:t xml:space="preserve">esting Logistics and Supplies</w:t>
      </w:r>
      <w:r w:rsidDel="00000000" w:rsidR="00000000" w:rsidRPr="00000000">
        <w:rPr>
          <w:rFonts w:ascii="Work Sans" w:cs="Work Sans" w:eastAsia="Work Sans" w:hAnsi="Work Sans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(See our </w:t>
      </w:r>
      <w:hyperlink r:id="rId16">
        <w:r w:rsidDel="00000000" w:rsidR="00000000" w:rsidRPr="00000000">
          <w:rPr>
            <w:rFonts w:ascii="Work Sans" w:cs="Work Sans" w:eastAsia="Work Sans" w:hAnsi="Work Sans"/>
            <w:color w:val="1155cc"/>
            <w:u w:val="single"/>
            <w:rtl w:val="0"/>
          </w:rPr>
          <w:t xml:space="preserve">Getting Started toolkit</w:t>
        </w:r>
      </w:hyperlink>
      <w:r w:rsidDel="00000000" w:rsidR="00000000" w:rsidRPr="00000000">
        <w:rPr>
          <w:rFonts w:ascii="Work Sans" w:cs="Work Sans" w:eastAsia="Work Sans" w:hAnsi="Work Sans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1260" w:hanging="27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Confirm start date with testing vendor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1260" w:hanging="27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Establish and document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testing schedule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1260" w:hanging="27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Identify testing area(s) at each school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and d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ocument </w:t>
      </w:r>
      <w:hyperlink r:id="rId17">
        <w:r w:rsidDel="00000000" w:rsidR="00000000" w:rsidRPr="00000000">
          <w:rPr>
            <w:rFonts w:ascii="Work Sans" w:cs="Work Sans" w:eastAsia="Work Sans" w:hAnsi="Work Sans"/>
            <w:color w:val="1155cc"/>
            <w:u w:val="single"/>
            <w:rtl w:val="0"/>
          </w:rPr>
          <w:t xml:space="preserve">collection method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1260" w:hanging="27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Confirm process for </w:t>
      </w:r>
      <w:hyperlink r:id="rId18">
        <w:r w:rsidDel="00000000" w:rsidR="00000000" w:rsidRPr="00000000">
          <w:rPr>
            <w:rFonts w:ascii="Work Sans" w:cs="Work Sans" w:eastAsia="Work Sans" w:hAnsi="Work Sans"/>
            <w:color w:val="1155cc"/>
            <w:u w:val="single"/>
            <w:rtl w:val="0"/>
          </w:rPr>
          <w:t xml:space="preserve">transporting specimens to the lab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1260" w:hanging="27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Distribute PPE (surgical and N95 masks, eye protection, gloves, gowns), test kits, and supplies (hand sanitizer, sanitizing wipes, tissues) to each school</w:t>
      </w: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5840" w:w="12240" w:orient="portrait"/>
      <w:pgMar w:bottom="720" w:top="810" w:left="108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Work Sans" w:cs="Work Sans" w:eastAsia="Work Sans" w:hAnsi="Work Sans"/>
        <w:i w:val="1"/>
        <w:color w:val="b7b7b7"/>
        <w:sz w:val="20"/>
        <w:szCs w:val="20"/>
      </w:rPr>
    </w:pPr>
    <w:r w:rsidDel="00000000" w:rsidR="00000000" w:rsidRPr="00000000">
      <w:rPr>
        <w:rFonts w:ascii="Work Sans" w:cs="Work Sans" w:eastAsia="Work Sans" w:hAnsi="Work Sans"/>
        <w:i w:val="1"/>
        <w:color w:val="b7b7b7"/>
        <w:sz w:val="20"/>
        <w:szCs w:val="20"/>
        <w:rtl w:val="0"/>
      </w:rPr>
      <w:t xml:space="preserve">Visit www.openandsafeschools.org for more resources.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Title"/>
      <w:jc w:val="center"/>
      <w:rPr/>
    </w:pPr>
    <w:bookmarkStart w:colFirst="0" w:colLast="0" w:name="_d5fzg2yobgol" w:id="5"/>
    <w:bookmarkEnd w:id="5"/>
    <w:r w:rsidDel="00000000" w:rsidR="00000000" w:rsidRPr="00000000">
      <w:rPr>
        <w:rFonts w:ascii="Work Sans" w:cs="Work Sans" w:eastAsia="Work Sans" w:hAnsi="Work Sans"/>
        <w:b w:val="1"/>
        <w:sz w:val="40"/>
        <w:szCs w:val="40"/>
      </w:rPr>
      <w:drawing>
        <wp:inline distB="114300" distT="114300" distL="114300" distR="114300">
          <wp:extent cx="852488" cy="852488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852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Work Sans" w:cs="Work Sans" w:eastAsia="Work Sans" w:hAnsi="Work Sans"/>
        <w:b w:val="1"/>
        <w:sz w:val="40"/>
        <w:szCs w:val="40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160" w:line="276" w:lineRule="auto"/>
      <w:ind w:left="720" w:firstLine="0"/>
    </w:pPr>
    <w:rPr>
      <w:rFonts w:ascii="Work Sans" w:cs="Work Sans" w:eastAsia="Work Sans" w:hAnsi="Work Sans"/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://www.openandsafeschools.org/communications" TargetMode="External"/><Relationship Id="rId10" Type="http://schemas.openxmlformats.org/officeDocument/2006/relationships/hyperlink" Target="https://docs.google.com/document/d/1MeBBivhGXWzGjWza7H27LdZMGUa37OpINAtq5qd-VaM/edit?usp=sharing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6.png"/><Relationship Id="rId14" Type="http://schemas.openxmlformats.org/officeDocument/2006/relationships/hyperlink" Target="http://www.openandsafeschools.org/getting-started#getting-consent" TargetMode="External"/><Relationship Id="rId17" Type="http://schemas.openxmlformats.org/officeDocument/2006/relationships/hyperlink" Target="https://covidedtesting.com/getting-started#choosing-swab-collection-methods" TargetMode="External"/><Relationship Id="rId16" Type="http://schemas.openxmlformats.org/officeDocument/2006/relationships/hyperlink" Target="http://www.openandsafeschools.org/getting-started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1.png"/><Relationship Id="rId18" Type="http://schemas.openxmlformats.org/officeDocument/2006/relationships/hyperlink" Target="https://covidedtesting.com/getting-started#getting-your-pools-to-the-lab" TargetMode="External"/><Relationship Id="rId7" Type="http://schemas.openxmlformats.org/officeDocument/2006/relationships/hyperlink" Target="http://www.openandsafeschools.org/about" TargetMode="External"/><Relationship Id="rId8" Type="http://schemas.openxmlformats.org/officeDocument/2006/relationships/hyperlink" Target="http://www.openandsafeschools.org/getting-started#Case-Identific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